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F7" w:rsidRPr="001653F7" w:rsidRDefault="001653F7" w:rsidP="00165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65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ГИДРОПНЕВМОАККУМУЛЯТОР</w:t>
      </w:r>
      <w:proofErr w:type="spellEnd"/>
      <w:r w:rsidRPr="00165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СПОСОБ ЕГО ЗАРЯДКИ </w:t>
      </w:r>
    </w:p>
    <w:p w:rsidR="001653F7" w:rsidRPr="001653F7" w:rsidRDefault="001653F7" w:rsidP="0016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Патент Российской Федерации</w:t>
      </w:r>
    </w:p>
    <w:p w:rsidR="001653F7" w:rsidRPr="001653F7" w:rsidRDefault="001653F7" w:rsidP="0016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86"/>
        <w:gridCol w:w="7919"/>
      </w:tblGrid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изобретения:</w:t>
            </w:r>
          </w:p>
        </w:tc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его зарядки предназначены для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переменным рабочим давлением.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первый компенсатор, имеющий гидравлическую и пневматическую полости, разделенные разделителем. Последующие компенсаторы имеют пневматические полости и соединяются с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пневмополостью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компенсатора через проточки золотника, увеличивая давление зарядки. Относительные среднее давление и давление зарядки диапазона определяют по точке кривой (например,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политропы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spellEnd"/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=Const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показателем степени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зоне которой определяется рабочий диапазон. Технический результат - уменьшение габаритов, массы и увеличение надежности. 2 с. и 4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з.п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ил. </w:t>
            </w:r>
          </w:p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</w:p>
        </w:tc>
      </w:tr>
    </w:tbl>
    <w:p w:rsidR="001653F7" w:rsidRPr="001653F7" w:rsidRDefault="001653F7" w:rsidP="00165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68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09"/>
      </w:tblGrid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2133887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F15B1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/08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97117211/06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01.10.1997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27.07.1999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аграрный университет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им.К.Д.Глинки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 О.И.; Деев С.О.; Деева Т.О.; Деев П.Н.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аграрный университет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им.К.Д.Глинки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Изобретение относится к аккумуляторам энергии жидкости, демпферам пульсаций давления и может быть использовано в различных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гидросистемах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рабочее давление является переменным в широком диапазоне, например в гидроприводе различных мобильных машин.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(Свешников В.К., Усов А.А., Станочный гидропривод.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Машиностроение, 1989, 464 с.), имеющие предварительную зарядку газовой полости для расширения энергоемкости и состоящие из емкости, имеющей разделитель, разъединяющий пневматическую и гидравлическую полости.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Описанное устройство обеспечивает демпфирование пульсаций в ограниченном диапазоне давлений, обусловленных величиной давления предварительной зарядки и емкостью газовой полости.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близким по технической сущности и достигаемому результату является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к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св. СССР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1476204, М.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1/04, 30.04.89,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16), 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состоит из системы компенсаторов, имеющих различное давление зарядки газовой полости, связанных единой гидравлической системой.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Такое устройство обеспечивает надежное демпфирование пульсации давлений во всем интервале изменения рабочего давления. Однако в таком устройстве (системе компенсаторов) каждый компенсатор имеет газовую и гидравлическую полости и разделитель, что увеличивает габариты, массу и снижает надежность.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Изобретение решает задачу уменьшения габаритов и массы и повышения надежности. Это достигается тем,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второй и последующие компенсаторы выполнены пневматическими и соединены через систему управления с пневматической полостью первого компенсатора, а система управления пневматической полостью связана с гидравлической посредством золотника, причем для определения величины относительного давления зарядки пневматической полости определяют граничную точку кривой (например,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политропы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min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после чего принимают величину давления зарядки в большую сторону, если необходимо большее изменение давления, и в меньшую сторону, если необходимо большее изменение объема, причем величину давления зарядки первого компенсатора определяют по минимальному давлению первого диапазона, а величину зарядки второго и последующих компенсаторов определяют по максимальному давлению первого и последующих диапазонов, при этом компенсаторы могут быть включены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последовательно. Установка пневматических компенсаторов позволяет сократить габариты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массу благодаря отсутствию разделителей, что также увеличивает надежность.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пневмокомпенсаторов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 давлением зарядки и включение их параллельно и последовательно, позволяет поддерживать рациональный режим работы в разных интервалах давления.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Гидравлическое управление подключения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пневмокомпенсаторов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быстро реагировать системе на изменение внешних условий работы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Принятие давления зарядки в зоне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5660" cy="462280"/>
                  <wp:effectExtent l="19050" t="0" r="2540" b="0"/>
                  <wp:docPr id="1" name="Рисунок 6" descr="http://ru-patent.info/21/30-34/img/2133887-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-patent.info/21/30-34/img/2133887-2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работать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пневмогидроаккумулятору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рациональной зоне.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Предлагаемое устройство и способ его зарядки поясняется чертежами. На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показан предлагаемый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фиг. 2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политропа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min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граничной точкой A.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(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1)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гидропневмокомпенсатор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 разделителем 2, образующим полость 3 пневматическую и 4 гидравлическую, связанную с магистралью 5 гидравлической системы.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Пневмомагистраль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компенсатора 1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соединена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проточками 7 и 8 золотника 9, имеющего корпус 10, пружину 11,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заплечники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регулирующее устройство 13 и крышку 14. В крышку 14 установлена сливная 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магистраль 15, которая напорную магистраль 16 через управляемый дроссель 17 и осевой канал 18 связывает со сливным баком 19 гидравлической системы. А корпус 10 напорной магистралью 20 связан с напорной магистралью 5.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Пневмокомпенсаторы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 22 магистралями 23 и 24, проточками 7 и 8 золотника 9 могут быть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пневмополостью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компенсатора 1. Величина проточек 7 и 8 увеличивается в сторону меньшего диаметра золотника 9.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в различных диапазонах давления, первый из которых служит для определения давления первичной зарядки первого компенсатора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минимальному давлению первого диапазона. Второй же компенсатор 21 (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имеет давление зарядки, соответствующее максимальному давлению первого диапазона, а последующий компенсатор 22 имеет давление зарядки, соответствующее максимальному давлению второго и далее последующих диапазонов.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работы компенсаторов в рациональной зоне определяют точку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кривой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min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абсолютному значению производной, приравнивая ее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единице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4860" cy="835660"/>
                  <wp:effectExtent l="19050" t="0" r="2540" b="0"/>
                  <wp:docPr id="2" name="Рисунок 7" descr="http://ru-patent.info/21/30-34/img/2133887-3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-patent.info/21/30-34/img/2133887-3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величина давления в относительных единицах, определяемая по отношению к максимальному давлению в системе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5660" cy="462280"/>
                  <wp:effectExtent l="19050" t="0" r="2540" b="0"/>
                  <wp:docPr id="3" name="Рисунок 8" descr="http://ru-patent.info/21/30-34/img/2133887-4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-patent.info/21/30-34/img/2133887-4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рабочее давление;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давление, определяемое или по настройке предохранительного клапана или по максимальному давлению диапазона);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величина объема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относительных единицах, определяемая по отношению к максимальному объему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5660" cy="462280"/>
                  <wp:effectExtent l="19050" t="0" r="2540" b="0"/>
                  <wp:docPr id="4" name="Рисунок 9" descr="http://ru-patent.info/21/30-34/img/2133887-5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-patent.info/21/30-34/img/2133887-5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рабочий объем,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максимальный объем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аккумулятора;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min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относительное давление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(давление зарядки);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максимальный относительный объем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аккумулятора (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540" cy="462280"/>
                  <wp:effectExtent l="19050" t="0" r="0" b="0"/>
                  <wp:docPr id="5" name="Рисунок 10" descr="http://ru-patent.info/21/30-34/img/2133887-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-patent.info/21/30-34/img/2133887-6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абсолютная величина производной изменения относительного объема по относительному давлению.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точке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(фиг. 2) приращение функции равно приращению 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аргумента (в ней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67080"/>
                  <wp:effectExtent l="19050" t="0" r="0" b="0"/>
                  <wp:docPr id="17" name="Рисунок 11" descr="http://ru-patent.info/21/30-34/img/2133887-7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-patent.info/21/30-34/img/2133887-7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 ней определяют в относительных единицах среднее давление диапазона, который, если необходимо, давлением зарядки второго и последующих компенсаторов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смещают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сторону большего изменения давления, либо в сторону большего изменения объема.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Пневмокомпенсаторы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 22 могут включаться автоматически, благодаря настройке пружины 19 и оставаться и оставаться включенными благодаря дополнительному давлению на заплечики 12 при опускании золотника 7.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Пневмокомпенсаторы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 22 могут включаться в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пневмосистему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 при большом максимальном давлении и поочередно, по мере нарастания давления.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Пневмокомпенсаторы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 22 могут включаться параллельно и последовательно, в зависимости от необходимости. Отключение компенсаторов 21 и 22 производится перекрытием с помощью дросселя 17 слива в бак 19.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Таким образом,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надежное демпфирование пульсаций давления во всем интервале изменения рабочего давления в рациональных режимах при уменьшении габаритов, массы и увеличении надежности. </w:t>
            </w:r>
          </w:p>
        </w:tc>
      </w:tr>
      <w:tr w:rsidR="001653F7" w:rsidRPr="001653F7" w:rsidTr="001653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3F7" w:rsidRPr="001653F7" w:rsidRDefault="001653F7" w:rsidP="001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меньшей мере два компенсатора с меньшим и большим рабочим давлением и систему управления ими, отличающийся тем, что по крайней мере второй и последующие компенсаторы выполнены пневматическими и соединены через систему управления с пневматической полостью первого компенсатора.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отличающийся тем, что второй и последующие компенсаторы выполнены с различным давлением зарядки, превышающим предварительное давление зарядки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пневмополости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и 2, 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отличающийся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что система управления пневматической полостью связана с гидравлической посредством золотника.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Способ зарядки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заключающийся в подаче предварительного давления в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пневмокамеру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отличающийся тем, что определяют граничную точку кривой (например,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политропы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которая в относительных единицах объема и давления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пневмокамеры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формуле газового состояния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min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определяется по абсолютному значению единицы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2340" cy="835660"/>
                  <wp:effectExtent l="19050" t="0" r="0" b="0"/>
                  <wp:docPr id="18" name="Рисунок 12" descr="http://ru-patent.info/21/30-34/img/2133887-8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-patent.info/21/30-34/img/2133887-8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4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величина давления в относительных единицах, определяемая по отношению к максимальному давлению в 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5660" cy="462280"/>
                  <wp:effectExtent l="19050" t="0" r="2540" b="0"/>
                  <wp:docPr id="19" name="Рисунок 13" descr="http://ru-patent.info/21/30-34/img/2133887-9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-patent.info/21/30-34/img/2133887-9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рабочее давление;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давление, определяемое по настройке предохранительного клапана или по максимальному давлению диапазона);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величина объема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относительных единицах, определяемая по отношению к максимальному объему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5660" cy="462280"/>
                  <wp:effectExtent l="19050" t="0" r="2540" b="0"/>
                  <wp:docPr id="20" name="Рисунок 14" descr="http://ru-patent.info/21/30-34/img/2133887-10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-patent.info/21/30-34/img/2133887-10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рабочий объем;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максимальный объем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аккумулятора);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показатель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политропы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min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относительное давление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(давление зарядки);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максимальный относительный объем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пневмопространства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аккумулятора (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max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1);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0860" cy="462280"/>
                  <wp:effectExtent l="19050" t="0" r="2540" b="0"/>
                  <wp:docPr id="21" name="Рисунок 15" descr="http://ru-patent.info/21/30-34/img/2133887-1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-patent.info/21/30-34/img/2133887-1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величина производной изменения относительного объема по относительному давлению,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чего принимают величину среднего давления диапазона в зоне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67080"/>
                  <wp:effectExtent l="19050" t="0" r="0" b="0"/>
                  <wp:docPr id="22" name="Рисунок 16" descr="http://ru-patent.info/21/30-34/img/2133887-1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u-patent.info/21/30-34/img/2133887-12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смещают его давлением зарядки в большую сторону, если необходимо большее изменение давления, и в меньшую сторону, если необходимо большее изменение объема.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Способ зарядки по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отличающийся тем, что величину давления зарядки первого компенсатора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гидропневмоаккумулятора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 минимальному давлению первого диапазона, а величину зарядки второго и последующих компенсаторов определяют по максимальному давлению первого и последующих диапазонов.</w:t>
            </w:r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Способ зарядки по </w:t>
            </w:r>
            <w:proofErr w:type="spellStart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пп.4</w:t>
            </w:r>
            <w:proofErr w:type="spellEnd"/>
            <w:r w:rsidRPr="0016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5, отличающийся тем, что компенсаторы включают последовательно. </w:t>
            </w:r>
          </w:p>
        </w:tc>
      </w:tr>
    </w:tbl>
    <w:p w:rsidR="000F43A0" w:rsidRDefault="000F43A0"/>
    <w:sectPr w:rsidR="000F43A0" w:rsidSect="000F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53F7"/>
    <w:rsid w:val="00004059"/>
    <w:rsid w:val="00005149"/>
    <w:rsid w:val="00011681"/>
    <w:rsid w:val="0001196B"/>
    <w:rsid w:val="00013748"/>
    <w:rsid w:val="00015319"/>
    <w:rsid w:val="000245D5"/>
    <w:rsid w:val="00024AF9"/>
    <w:rsid w:val="0003321C"/>
    <w:rsid w:val="000340D4"/>
    <w:rsid w:val="000431D7"/>
    <w:rsid w:val="00043C9B"/>
    <w:rsid w:val="000461CF"/>
    <w:rsid w:val="000508E0"/>
    <w:rsid w:val="0005263E"/>
    <w:rsid w:val="00053250"/>
    <w:rsid w:val="000614E0"/>
    <w:rsid w:val="0007559D"/>
    <w:rsid w:val="0007563E"/>
    <w:rsid w:val="00086087"/>
    <w:rsid w:val="00086831"/>
    <w:rsid w:val="000941C7"/>
    <w:rsid w:val="000B22A4"/>
    <w:rsid w:val="000B4255"/>
    <w:rsid w:val="000B6D7A"/>
    <w:rsid w:val="000C055E"/>
    <w:rsid w:val="000C7E60"/>
    <w:rsid w:val="000C7E81"/>
    <w:rsid w:val="000E5432"/>
    <w:rsid w:val="000F25FF"/>
    <w:rsid w:val="000F3583"/>
    <w:rsid w:val="000F43A0"/>
    <w:rsid w:val="0010185E"/>
    <w:rsid w:val="001551AF"/>
    <w:rsid w:val="0015658A"/>
    <w:rsid w:val="001653F7"/>
    <w:rsid w:val="001667D2"/>
    <w:rsid w:val="001726A6"/>
    <w:rsid w:val="0017697F"/>
    <w:rsid w:val="0018076D"/>
    <w:rsid w:val="0019079E"/>
    <w:rsid w:val="0019721E"/>
    <w:rsid w:val="001A120D"/>
    <w:rsid w:val="001A462F"/>
    <w:rsid w:val="001B53BF"/>
    <w:rsid w:val="001C6337"/>
    <w:rsid w:val="001D0492"/>
    <w:rsid w:val="001D4129"/>
    <w:rsid w:val="001F2862"/>
    <w:rsid w:val="001F35D2"/>
    <w:rsid w:val="001F6FEA"/>
    <w:rsid w:val="002056E4"/>
    <w:rsid w:val="0020730D"/>
    <w:rsid w:val="00211EDE"/>
    <w:rsid w:val="002166DE"/>
    <w:rsid w:val="00216E40"/>
    <w:rsid w:val="00220752"/>
    <w:rsid w:val="002258E4"/>
    <w:rsid w:val="002309F4"/>
    <w:rsid w:val="00232831"/>
    <w:rsid w:val="00237099"/>
    <w:rsid w:val="002421D4"/>
    <w:rsid w:val="00245A15"/>
    <w:rsid w:val="00260C65"/>
    <w:rsid w:val="00270F87"/>
    <w:rsid w:val="00276025"/>
    <w:rsid w:val="00286AAA"/>
    <w:rsid w:val="00287507"/>
    <w:rsid w:val="00295DA5"/>
    <w:rsid w:val="002A5420"/>
    <w:rsid w:val="002A745B"/>
    <w:rsid w:val="002E1CA5"/>
    <w:rsid w:val="002E6537"/>
    <w:rsid w:val="002F6649"/>
    <w:rsid w:val="002F7246"/>
    <w:rsid w:val="002F7570"/>
    <w:rsid w:val="00317C84"/>
    <w:rsid w:val="003260DA"/>
    <w:rsid w:val="00327733"/>
    <w:rsid w:val="0033712C"/>
    <w:rsid w:val="003374B9"/>
    <w:rsid w:val="00341DCA"/>
    <w:rsid w:val="00346747"/>
    <w:rsid w:val="00347714"/>
    <w:rsid w:val="00351C8F"/>
    <w:rsid w:val="003543D0"/>
    <w:rsid w:val="00364E52"/>
    <w:rsid w:val="00370911"/>
    <w:rsid w:val="003722F4"/>
    <w:rsid w:val="00373D54"/>
    <w:rsid w:val="003749FA"/>
    <w:rsid w:val="0039254D"/>
    <w:rsid w:val="003A61AE"/>
    <w:rsid w:val="003B7E43"/>
    <w:rsid w:val="003C0DD7"/>
    <w:rsid w:val="003C2B1C"/>
    <w:rsid w:val="003D055A"/>
    <w:rsid w:val="003D4407"/>
    <w:rsid w:val="003D7C0C"/>
    <w:rsid w:val="003E0FB1"/>
    <w:rsid w:val="003E3EAF"/>
    <w:rsid w:val="003F7B5F"/>
    <w:rsid w:val="004025B8"/>
    <w:rsid w:val="00402DD6"/>
    <w:rsid w:val="00403CE3"/>
    <w:rsid w:val="004041E2"/>
    <w:rsid w:val="0042201D"/>
    <w:rsid w:val="00422A12"/>
    <w:rsid w:val="0042690E"/>
    <w:rsid w:val="00437E9E"/>
    <w:rsid w:val="004421EC"/>
    <w:rsid w:val="00442454"/>
    <w:rsid w:val="00444D0E"/>
    <w:rsid w:val="00452163"/>
    <w:rsid w:val="004530FF"/>
    <w:rsid w:val="0045330E"/>
    <w:rsid w:val="00466542"/>
    <w:rsid w:val="00477C5B"/>
    <w:rsid w:val="00486495"/>
    <w:rsid w:val="00490D55"/>
    <w:rsid w:val="00494AE6"/>
    <w:rsid w:val="004A1D05"/>
    <w:rsid w:val="004A5170"/>
    <w:rsid w:val="004A64B5"/>
    <w:rsid w:val="004B4B96"/>
    <w:rsid w:val="004B4E15"/>
    <w:rsid w:val="004B6E79"/>
    <w:rsid w:val="004C33BB"/>
    <w:rsid w:val="004D1A8B"/>
    <w:rsid w:val="004F1CFB"/>
    <w:rsid w:val="0050309B"/>
    <w:rsid w:val="00511CA4"/>
    <w:rsid w:val="00512BB7"/>
    <w:rsid w:val="005163B6"/>
    <w:rsid w:val="0052688C"/>
    <w:rsid w:val="005337CC"/>
    <w:rsid w:val="00535A8A"/>
    <w:rsid w:val="0053700C"/>
    <w:rsid w:val="00541A9E"/>
    <w:rsid w:val="00542A31"/>
    <w:rsid w:val="00544EA1"/>
    <w:rsid w:val="0055772B"/>
    <w:rsid w:val="00564CD1"/>
    <w:rsid w:val="00564CFC"/>
    <w:rsid w:val="00566F4D"/>
    <w:rsid w:val="00571756"/>
    <w:rsid w:val="005717C5"/>
    <w:rsid w:val="005732F3"/>
    <w:rsid w:val="005753BE"/>
    <w:rsid w:val="00577099"/>
    <w:rsid w:val="005900DA"/>
    <w:rsid w:val="00590BA7"/>
    <w:rsid w:val="005932BB"/>
    <w:rsid w:val="005A2B03"/>
    <w:rsid w:val="005A4B1E"/>
    <w:rsid w:val="005A5F44"/>
    <w:rsid w:val="005A6E4E"/>
    <w:rsid w:val="005C1DBA"/>
    <w:rsid w:val="005C24F3"/>
    <w:rsid w:val="005C7640"/>
    <w:rsid w:val="005C7FC8"/>
    <w:rsid w:val="005D0F5D"/>
    <w:rsid w:val="005D32FF"/>
    <w:rsid w:val="005D3339"/>
    <w:rsid w:val="005D457E"/>
    <w:rsid w:val="005D5E97"/>
    <w:rsid w:val="005E12BE"/>
    <w:rsid w:val="005E1A70"/>
    <w:rsid w:val="005F18F6"/>
    <w:rsid w:val="006143B4"/>
    <w:rsid w:val="00615228"/>
    <w:rsid w:val="006209B1"/>
    <w:rsid w:val="006215B5"/>
    <w:rsid w:val="006329BB"/>
    <w:rsid w:val="00645C7F"/>
    <w:rsid w:val="00646C8E"/>
    <w:rsid w:val="0065385C"/>
    <w:rsid w:val="00667B6B"/>
    <w:rsid w:val="00667D31"/>
    <w:rsid w:val="00674741"/>
    <w:rsid w:val="00676088"/>
    <w:rsid w:val="00680498"/>
    <w:rsid w:val="0068690C"/>
    <w:rsid w:val="00690BD6"/>
    <w:rsid w:val="00692748"/>
    <w:rsid w:val="0069468F"/>
    <w:rsid w:val="006C6165"/>
    <w:rsid w:val="006D6E83"/>
    <w:rsid w:val="006E163E"/>
    <w:rsid w:val="006E536F"/>
    <w:rsid w:val="006F4587"/>
    <w:rsid w:val="006F6E20"/>
    <w:rsid w:val="0070082C"/>
    <w:rsid w:val="0070110C"/>
    <w:rsid w:val="00703B62"/>
    <w:rsid w:val="00710170"/>
    <w:rsid w:val="007156DD"/>
    <w:rsid w:val="00724950"/>
    <w:rsid w:val="00727DF8"/>
    <w:rsid w:val="0073017F"/>
    <w:rsid w:val="00737567"/>
    <w:rsid w:val="00737AEC"/>
    <w:rsid w:val="0074573D"/>
    <w:rsid w:val="0075523C"/>
    <w:rsid w:val="00770BD0"/>
    <w:rsid w:val="007807D3"/>
    <w:rsid w:val="0078125D"/>
    <w:rsid w:val="00794953"/>
    <w:rsid w:val="007A027D"/>
    <w:rsid w:val="007A2F7E"/>
    <w:rsid w:val="007B4188"/>
    <w:rsid w:val="007B4266"/>
    <w:rsid w:val="007C494A"/>
    <w:rsid w:val="007C7561"/>
    <w:rsid w:val="007D2945"/>
    <w:rsid w:val="007D4B5D"/>
    <w:rsid w:val="007D5985"/>
    <w:rsid w:val="007F0DC8"/>
    <w:rsid w:val="007F46AA"/>
    <w:rsid w:val="008007F2"/>
    <w:rsid w:val="00802D78"/>
    <w:rsid w:val="0080696D"/>
    <w:rsid w:val="00812138"/>
    <w:rsid w:val="00812F6E"/>
    <w:rsid w:val="008149DC"/>
    <w:rsid w:val="008228F9"/>
    <w:rsid w:val="00823368"/>
    <w:rsid w:val="008277CC"/>
    <w:rsid w:val="008320D3"/>
    <w:rsid w:val="0083783B"/>
    <w:rsid w:val="00843E6D"/>
    <w:rsid w:val="0085705B"/>
    <w:rsid w:val="008606CE"/>
    <w:rsid w:val="00861113"/>
    <w:rsid w:val="00877C28"/>
    <w:rsid w:val="00881287"/>
    <w:rsid w:val="0089789F"/>
    <w:rsid w:val="008A028E"/>
    <w:rsid w:val="008A7553"/>
    <w:rsid w:val="008A7CE9"/>
    <w:rsid w:val="008B0FC7"/>
    <w:rsid w:val="008B142A"/>
    <w:rsid w:val="008B27F1"/>
    <w:rsid w:val="008C08BD"/>
    <w:rsid w:val="008C1696"/>
    <w:rsid w:val="008C5BA4"/>
    <w:rsid w:val="008D02D3"/>
    <w:rsid w:val="008F2B96"/>
    <w:rsid w:val="008F3145"/>
    <w:rsid w:val="008F735A"/>
    <w:rsid w:val="008F7FEC"/>
    <w:rsid w:val="0090036B"/>
    <w:rsid w:val="00901779"/>
    <w:rsid w:val="00905C08"/>
    <w:rsid w:val="009206D1"/>
    <w:rsid w:val="009253D1"/>
    <w:rsid w:val="009270D8"/>
    <w:rsid w:val="009304BA"/>
    <w:rsid w:val="00932ACB"/>
    <w:rsid w:val="00937C8B"/>
    <w:rsid w:val="00946595"/>
    <w:rsid w:val="009479D1"/>
    <w:rsid w:val="00950BBC"/>
    <w:rsid w:val="00952B96"/>
    <w:rsid w:val="0095608F"/>
    <w:rsid w:val="00957EA2"/>
    <w:rsid w:val="00960026"/>
    <w:rsid w:val="00977575"/>
    <w:rsid w:val="009800A5"/>
    <w:rsid w:val="00981900"/>
    <w:rsid w:val="009865D3"/>
    <w:rsid w:val="009924D0"/>
    <w:rsid w:val="009927E4"/>
    <w:rsid w:val="00992FB9"/>
    <w:rsid w:val="009A0F12"/>
    <w:rsid w:val="009A75B8"/>
    <w:rsid w:val="009A7D22"/>
    <w:rsid w:val="009C2FF2"/>
    <w:rsid w:val="009D0234"/>
    <w:rsid w:val="009D39AA"/>
    <w:rsid w:val="009D48A4"/>
    <w:rsid w:val="009E3B22"/>
    <w:rsid w:val="009F1931"/>
    <w:rsid w:val="00A02A76"/>
    <w:rsid w:val="00A048B4"/>
    <w:rsid w:val="00A05285"/>
    <w:rsid w:val="00A14EBA"/>
    <w:rsid w:val="00A3274E"/>
    <w:rsid w:val="00A373EF"/>
    <w:rsid w:val="00A42AB0"/>
    <w:rsid w:val="00A537BE"/>
    <w:rsid w:val="00A561FA"/>
    <w:rsid w:val="00A6356F"/>
    <w:rsid w:val="00A654D1"/>
    <w:rsid w:val="00A66E48"/>
    <w:rsid w:val="00A71537"/>
    <w:rsid w:val="00A76BE4"/>
    <w:rsid w:val="00A80DA9"/>
    <w:rsid w:val="00A861A3"/>
    <w:rsid w:val="00A8767A"/>
    <w:rsid w:val="00A944EE"/>
    <w:rsid w:val="00A975E7"/>
    <w:rsid w:val="00AA602A"/>
    <w:rsid w:val="00AB2BA4"/>
    <w:rsid w:val="00AF583B"/>
    <w:rsid w:val="00B0130F"/>
    <w:rsid w:val="00B056B9"/>
    <w:rsid w:val="00B26978"/>
    <w:rsid w:val="00B35017"/>
    <w:rsid w:val="00B35A49"/>
    <w:rsid w:val="00B40C1E"/>
    <w:rsid w:val="00B553FE"/>
    <w:rsid w:val="00B64B11"/>
    <w:rsid w:val="00B672FE"/>
    <w:rsid w:val="00B7012C"/>
    <w:rsid w:val="00B724BD"/>
    <w:rsid w:val="00B74F68"/>
    <w:rsid w:val="00B8049C"/>
    <w:rsid w:val="00B85770"/>
    <w:rsid w:val="00B86E4F"/>
    <w:rsid w:val="00B87BDC"/>
    <w:rsid w:val="00B92D85"/>
    <w:rsid w:val="00BA1669"/>
    <w:rsid w:val="00BB09C9"/>
    <w:rsid w:val="00BB1CA7"/>
    <w:rsid w:val="00BB2ACF"/>
    <w:rsid w:val="00BB3137"/>
    <w:rsid w:val="00BD70AC"/>
    <w:rsid w:val="00BE62D6"/>
    <w:rsid w:val="00BE77F4"/>
    <w:rsid w:val="00BF1305"/>
    <w:rsid w:val="00BF50AC"/>
    <w:rsid w:val="00C03DF8"/>
    <w:rsid w:val="00C06D70"/>
    <w:rsid w:val="00C17BA2"/>
    <w:rsid w:val="00C23D67"/>
    <w:rsid w:val="00C31CE6"/>
    <w:rsid w:val="00C32348"/>
    <w:rsid w:val="00C326EE"/>
    <w:rsid w:val="00C32BB2"/>
    <w:rsid w:val="00C40BC5"/>
    <w:rsid w:val="00C43AB4"/>
    <w:rsid w:val="00C46C6C"/>
    <w:rsid w:val="00C50777"/>
    <w:rsid w:val="00C625E3"/>
    <w:rsid w:val="00C658FC"/>
    <w:rsid w:val="00C6628C"/>
    <w:rsid w:val="00C67B7F"/>
    <w:rsid w:val="00C70116"/>
    <w:rsid w:val="00C86B95"/>
    <w:rsid w:val="00C87F0A"/>
    <w:rsid w:val="00CA148A"/>
    <w:rsid w:val="00CA5699"/>
    <w:rsid w:val="00CB2166"/>
    <w:rsid w:val="00CB2659"/>
    <w:rsid w:val="00CB34C7"/>
    <w:rsid w:val="00CB4314"/>
    <w:rsid w:val="00CB62CE"/>
    <w:rsid w:val="00CB721E"/>
    <w:rsid w:val="00CC4245"/>
    <w:rsid w:val="00CC4931"/>
    <w:rsid w:val="00CD14E5"/>
    <w:rsid w:val="00CD2D4A"/>
    <w:rsid w:val="00CE0C58"/>
    <w:rsid w:val="00CE3365"/>
    <w:rsid w:val="00CE75BB"/>
    <w:rsid w:val="00CF0814"/>
    <w:rsid w:val="00CF1179"/>
    <w:rsid w:val="00CF57C2"/>
    <w:rsid w:val="00CF6777"/>
    <w:rsid w:val="00CF6778"/>
    <w:rsid w:val="00CF77A2"/>
    <w:rsid w:val="00D034A6"/>
    <w:rsid w:val="00D125BD"/>
    <w:rsid w:val="00D14A88"/>
    <w:rsid w:val="00D15169"/>
    <w:rsid w:val="00D15942"/>
    <w:rsid w:val="00D20F56"/>
    <w:rsid w:val="00D24EDE"/>
    <w:rsid w:val="00D27416"/>
    <w:rsid w:val="00D31A7E"/>
    <w:rsid w:val="00D41034"/>
    <w:rsid w:val="00D42904"/>
    <w:rsid w:val="00D433E1"/>
    <w:rsid w:val="00D6069A"/>
    <w:rsid w:val="00D62933"/>
    <w:rsid w:val="00D6573F"/>
    <w:rsid w:val="00D65760"/>
    <w:rsid w:val="00D6796D"/>
    <w:rsid w:val="00D71876"/>
    <w:rsid w:val="00D7290E"/>
    <w:rsid w:val="00D8596E"/>
    <w:rsid w:val="00D97211"/>
    <w:rsid w:val="00DA2B67"/>
    <w:rsid w:val="00DA6483"/>
    <w:rsid w:val="00DB451B"/>
    <w:rsid w:val="00DB5665"/>
    <w:rsid w:val="00DC4296"/>
    <w:rsid w:val="00DC4AC9"/>
    <w:rsid w:val="00DD0BE1"/>
    <w:rsid w:val="00DD3070"/>
    <w:rsid w:val="00DE1501"/>
    <w:rsid w:val="00DE26FD"/>
    <w:rsid w:val="00DF512C"/>
    <w:rsid w:val="00E30ED9"/>
    <w:rsid w:val="00E3107A"/>
    <w:rsid w:val="00E34C8E"/>
    <w:rsid w:val="00E41698"/>
    <w:rsid w:val="00E450FB"/>
    <w:rsid w:val="00E50005"/>
    <w:rsid w:val="00E5062C"/>
    <w:rsid w:val="00E53B03"/>
    <w:rsid w:val="00E73A15"/>
    <w:rsid w:val="00E740B4"/>
    <w:rsid w:val="00E87B2B"/>
    <w:rsid w:val="00E95E0E"/>
    <w:rsid w:val="00EA2E77"/>
    <w:rsid w:val="00EA447A"/>
    <w:rsid w:val="00EB0189"/>
    <w:rsid w:val="00EC29D9"/>
    <w:rsid w:val="00EC5D30"/>
    <w:rsid w:val="00ED0A58"/>
    <w:rsid w:val="00ED5AB2"/>
    <w:rsid w:val="00EE0775"/>
    <w:rsid w:val="00EE4AF1"/>
    <w:rsid w:val="00EE691C"/>
    <w:rsid w:val="00EE723C"/>
    <w:rsid w:val="00EF424D"/>
    <w:rsid w:val="00EF6FCA"/>
    <w:rsid w:val="00F229F3"/>
    <w:rsid w:val="00F2378A"/>
    <w:rsid w:val="00F26D7A"/>
    <w:rsid w:val="00F275A8"/>
    <w:rsid w:val="00F30646"/>
    <w:rsid w:val="00F30FE0"/>
    <w:rsid w:val="00F339C1"/>
    <w:rsid w:val="00F3493E"/>
    <w:rsid w:val="00F4778D"/>
    <w:rsid w:val="00F540A5"/>
    <w:rsid w:val="00F60F2C"/>
    <w:rsid w:val="00F801E4"/>
    <w:rsid w:val="00F81130"/>
    <w:rsid w:val="00F85CE5"/>
    <w:rsid w:val="00F87541"/>
    <w:rsid w:val="00F90D62"/>
    <w:rsid w:val="00FB224F"/>
    <w:rsid w:val="00FC4B3C"/>
    <w:rsid w:val="00FD7120"/>
    <w:rsid w:val="00FE09F7"/>
    <w:rsid w:val="00FE141A"/>
    <w:rsid w:val="00FE58D6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0"/>
  </w:style>
  <w:style w:type="paragraph" w:styleId="1">
    <w:name w:val="heading 1"/>
    <w:basedOn w:val="a"/>
    <w:link w:val="10"/>
    <w:uiPriority w:val="9"/>
    <w:qFormat/>
    <w:rsid w:val="0016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1488</Words>
  <Characters>8487</Characters>
  <Application>Microsoft Office Word</Application>
  <DocSecurity>0</DocSecurity>
  <Lines>70</Lines>
  <Paragraphs>19</Paragraphs>
  <ScaleCrop>false</ScaleCrop>
  <Company>Укрремпутьмаш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Vatchenko</dc:creator>
  <cp:keywords/>
  <dc:description/>
  <cp:lastModifiedBy>Vatchenko</cp:lastModifiedBy>
  <cp:revision>1</cp:revision>
  <cp:lastPrinted>2009-06-23T13:47:00Z</cp:lastPrinted>
  <dcterms:created xsi:type="dcterms:W3CDTF">2009-06-23T13:44:00Z</dcterms:created>
  <dcterms:modified xsi:type="dcterms:W3CDTF">2009-06-23T13:47:00Z</dcterms:modified>
</cp:coreProperties>
</file>